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30"/>
          <w:sz-cs w:val="30"/>
          <w:b/>
          <w:color w:val="0070C0"/>
        </w:rPr>
        <w:t xml:space="preserve">Property Price Statement – Instructions</w:t>
      </w:r>
    </w:p>
    <w:p>
      <w:pPr/>
      <w:r>
        <w:rPr>
          <w:rFonts w:ascii="Times" w:hAnsi="Times" w:cs="Times"/>
          <w:sz w:val="36"/>
          <w:sz-cs w:val="36"/>
          <w:b/>
          <w:color w:val="0070C0"/>
        </w:rPr>
        <w:t xml:space="preserve">Single residential property located in the Melbourne metropolitan area</w:t>
      </w:r>
    </w:p>
    <w:p>
      <w:pPr>
        <w:spacing w:before="120" w:after="120"/>
      </w:pPr>
      <w:r>
        <w:rPr>
          <w:rFonts w:ascii="Times" w:hAnsi="Times" w:cs="Times"/>
          <w:sz w:val="20"/>
          <w:sz-cs w:val="20"/>
          <w:b/>
        </w:rPr>
        <w:t xml:space="preserve">This instruction sheet does not form part of this Property Price Statement and is not required to be included in the completed Property Price Statement for the property being offered for sale.</w:t>
      </w:r>
    </w:p>
    <w:p>
      <w:pPr>
        <w:spacing w:before="120" w:after="120"/>
      </w:pPr>
      <w:r>
        <w:rPr>
          <w:rFonts w:ascii="Times" w:hAnsi="Times" w:cs="Times"/>
          <w:sz w:val="20"/>
          <w:sz-cs w:val="20"/>
        </w:rPr>
        <w:t xml:space="preserve">The Director of Consumer Affairs Victoria has approved this form of the Property Price Statement for section 47AF of the </w:t>
      </w:r>
      <w:r>
        <w:rPr>
          <w:rFonts w:ascii="Times" w:hAnsi="Times" w:cs="Times"/>
          <w:sz w:val="20"/>
          <w:sz-cs w:val="20"/>
          <w:i/>
        </w:rPr>
        <w:t xml:space="preserve">Estate Agents Act 1980</w:t>
      </w:r>
      <w:r>
        <w:rPr>
          <w:rFonts w:ascii="Times" w:hAnsi="Times" w:cs="Times"/>
          <w:sz w:val="20"/>
          <w:sz-cs w:val="20"/>
        </w:rPr>
        <w:t xml:space="preserve">.</w:t>
      </w:r>
    </w:p>
    <w:p>
      <w:pPr>
        <w:spacing w:before="120" w:after="120"/>
      </w:pPr>
      <w:r>
        <w:rPr>
          <w:rFonts w:ascii="Times" w:hAnsi="Times" w:cs="Times"/>
          <w:sz w:val="20"/>
          <w:sz-cs w:val="20"/>
        </w:rPr>
        <w:t xml:space="preserve">The estate agent or agent’s representative engaged to sell the property is required to prepare this Property Price Statement. It must be used when </w:t>
      </w:r>
      <w:r>
        <w:rPr>
          <w:rFonts w:ascii="Times" w:hAnsi="Times" w:cs="Times"/>
          <w:sz w:val="20"/>
          <w:sz-cs w:val="20"/>
          <w:b/>
        </w:rPr>
        <w:t xml:space="preserve">a single residential property located in the Melbourne metropolitan area</w:t>
      </w:r>
      <w:r>
        <w:rPr>
          <w:rFonts w:ascii="Times" w:hAnsi="Times" w:cs="Times"/>
          <w:sz w:val="20"/>
          <w:sz-cs w:val="20"/>
        </w:rPr>
        <w:t xml:space="preserve"> is being offered for sale. The Director’s determination of the Melbourne metropolitan area is available on the CA</w:t>
      </w:r>
      <w:r>
        <w:rPr>
          <w:rFonts w:ascii="Times" w:hAnsi="Times" w:cs="Times"/>
          <w:sz w:val="24"/>
          <w:sz-cs w:val="24"/>
        </w:rPr>
        <w:t xml:space="preserve">V</w:t>
      </w:r>
      <w:r>
        <w:rPr>
          <w:rFonts w:ascii="Times" w:hAnsi="Times" w:cs="Times"/>
          <w:sz w:val="20"/>
          <w:sz-cs w:val="20"/>
        </w:rPr>
        <w:t xml:space="preserve"> website.</w:t>
      </w:r>
    </w:p>
    <w:p>
      <w:pPr>
        <w:spacing w:before="120" w:after="120"/>
      </w:pPr>
      <w:r>
        <w:rPr>
          <w:rFonts w:ascii="Times" w:hAnsi="Times" w:cs="Times"/>
          <w:sz w:val="20"/>
          <w:sz-cs w:val="20"/>
        </w:rPr>
        <w:t xml:space="preserve">It is recommended that the address of the property being offered for sale be checked at https://www.land.vic.gov.au/property-and-parcel-search before being entered in this Property Price Statement.</w:t>
      </w:r>
    </w:p>
    <w:p>
      <w:pPr>
        <w:spacing w:before="120" w:after="120"/>
      </w:pPr>
      <w:r>
        <w:rPr>
          <w:rFonts w:ascii="Times" w:hAnsi="Times" w:cs="Times"/>
          <w:sz w:val="20"/>
          <w:sz-cs w:val="20"/>
          <w:b/>
        </w:rPr>
        <w:t xml:space="preserve">Display and access to the Property Price Statement</w:t>
      </w:r>
    </w:p>
    <w:p>
      <w:pPr>
        <w:spacing w:before="120" w:after="120"/>
      </w:pPr>
      <w:r>
        <w:rPr>
          <w:rFonts w:ascii="Times" w:hAnsi="Times" w:cs="Times"/>
          <w:sz w:val="20"/>
          <w:sz-cs w:val="20"/>
        </w:rPr>
        <w:t xml:space="preserve">This Property Price Statement must be: </w:t>
      </w:r>
    </w:p>
    <w:p>
      <w:pPr>
        <w:ind w:left="720" w:first-line="-720"/>
      </w:pPr>
      <w:r>
        <w:rPr>
          <w:rFonts w:ascii="Times" w:hAnsi="Times" w:cs="Times"/>
          <w:sz w:val="20"/>
          <w:sz-cs w:val="20"/>
        </w:rPr>
        <w:t xml:space="preserve"/>
        <w:tab/>
        <w:t xml:space="preserve">•</w:t>
        <w:tab/>
        <w:t xml:space="preserve">prominently displayed on any main advertisement for the property on an internet site, during the period the property is offered for sale, published by or on behalf of the agent or representative;</w:t>
      </w:r>
    </w:p>
    <w:p>
      <w:pPr>
        <w:ind w:left="720" w:first-line="-720"/>
      </w:pPr>
      <w:r>
        <w:rPr>
          <w:rFonts w:ascii="Times" w:hAnsi="Times" w:cs="Times"/>
          <w:sz w:val="20"/>
          <w:sz-cs w:val="20"/>
        </w:rPr>
        <w:t xml:space="preserve"/>
        <w:tab/>
        <w:t xml:space="preserve">•</w:t>
        <w:tab/>
        <w:t xml:space="preserve">displayed at any inspection for the property for sale; and </w:t>
      </w:r>
    </w:p>
    <w:p>
      <w:pPr>
        <w:ind w:left="720" w:first-line="-720"/>
      </w:pPr>
      <w:r>
        <w:rPr>
          <w:rFonts w:ascii="Times" w:hAnsi="Times" w:cs="Times"/>
          <w:sz w:val="20"/>
          <w:sz-cs w:val="20"/>
        </w:rPr>
        <w:t xml:space="preserve"/>
        <w:tab/>
        <w:t xml:space="preserve">•</w:t>
        <w:tab/>
        <w:t xml:space="preserve">provided to a prospective buyer within two business days of a request. </w:t>
      </w:r>
    </w:p>
    <w:p>
      <w:pPr>
        <w:spacing w:before="120" w:after="120"/>
      </w:pPr>
      <w:r>
        <w:rPr>
          <w:rFonts w:ascii="Times" w:hAnsi="Times" w:cs="Times"/>
          <w:sz w:val="20"/>
          <w:sz-cs w:val="20"/>
          <w:b/>
        </w:rPr>
        <w:t xml:space="preserve">Indicative selling price</w:t>
      </w:r>
    </w:p>
    <w:p>
      <w:pPr>
        <w:spacing w:before="120" w:after="120"/>
      </w:pPr>
      <w:r>
        <w:rPr>
          <w:rFonts w:ascii="Times" w:hAnsi="Times" w:cs="Times"/>
          <w:sz w:val="20"/>
          <w:sz-cs w:val="20"/>
        </w:rPr>
        <w:t xml:space="preserve">An indicative selling price may be a single price or a range, where the difference between the upper and lower limit is not more than 10% of the value of the lower limit. These prices must be expressed as dollar amounts and not modified by words or symbols.</w:t>
      </w:r>
    </w:p>
    <w:p>
      <w:pPr>
        <w:spacing w:before="120" w:after="120"/>
      </w:pPr>
      <w:r>
        <w:rPr>
          <w:rFonts w:ascii="Times" w:hAnsi="Times" w:cs="Times"/>
          <w:sz w:val="20"/>
          <w:sz-cs w:val="20"/>
        </w:rPr>
        <w:t xml:space="preserve">The indicative selling price must not be less than: </w:t>
      </w:r>
    </w:p>
    <w:p>
      <w:pPr>
        <w:ind w:left="720" w:first-line="-720"/>
      </w:pPr>
      <w:r>
        <w:rPr>
          <w:rFonts w:ascii="Times" w:hAnsi="Times" w:cs="Times"/>
          <w:sz w:val="20"/>
          <w:sz-cs w:val="20"/>
        </w:rPr>
        <w:t xml:space="preserve"/>
        <w:tab/>
        <w:t xml:space="preserve">•</w:t>
        <w:tab/>
        <w:t xml:space="preserve">the estimated selling price of the property;</w:t>
      </w:r>
    </w:p>
    <w:p>
      <w:pPr>
        <w:ind w:left="720" w:first-line="-720"/>
      </w:pPr>
      <w:r>
        <w:rPr>
          <w:rFonts w:ascii="Times" w:hAnsi="Times" w:cs="Times"/>
          <w:sz w:val="20"/>
          <w:sz-cs w:val="20"/>
        </w:rPr>
        <w:t xml:space="preserve"/>
        <w:tab/>
        <w:t xml:space="preserve">•</w:t>
        <w:tab/>
        <w:t xml:space="preserve">the price in any written offer that the agent or representative knows or could reasonably be expected to know that the seller has rejected because the price was too low; or</w:t>
      </w:r>
    </w:p>
    <w:p>
      <w:pPr>
        <w:ind w:left="720" w:first-line="-720"/>
      </w:pPr>
      <w:r>
        <w:rPr>
          <w:rFonts w:ascii="Times" w:hAnsi="Times" w:cs="Times"/>
          <w:sz w:val="20"/>
          <w:sz-cs w:val="20"/>
        </w:rPr>
        <w:t xml:space="preserve"/>
        <w:tab/>
        <w:t xml:space="preserve">•</w:t>
        <w:tab/>
        <w:t xml:space="preserve">any amount that the seller has advised the agent or representative that they will accept for the property, or any revision to that amount.</w:t>
      </w:r>
    </w:p>
    <w:p>
      <w:pPr>
        <w:spacing w:before="120" w:after="120"/>
      </w:pPr>
      <w:r>
        <w:rPr>
          <w:rFonts w:ascii="Times" w:hAnsi="Times" w:cs="Times"/>
          <w:sz w:val="20"/>
          <w:sz-cs w:val="20"/>
        </w:rPr>
        <w:t xml:space="preserve">If expressed as a range, the lower limit of the range must not be less than the estimated selling price.</w:t>
      </w:r>
    </w:p>
    <w:p>
      <w:pPr>
        <w:spacing w:before="120" w:after="120"/>
      </w:pPr>
      <w:r>
        <w:rPr>
          <w:rFonts w:ascii="Times" w:hAnsi="Times" w:cs="Times"/>
          <w:sz w:val="20"/>
          <w:sz-cs w:val="20"/>
          <w:b/>
        </w:rPr>
        <w:t xml:space="preserve">Updating the seller’s reserve price where property is to be sold by auction or fixed-date sale</w:t>
      </w:r>
    </w:p>
    <w:p>
      <w:pPr>
        <w:spacing w:before="120" w:after="120"/>
      </w:pPr>
      <w:r>
        <w:rPr>
          <w:rFonts w:ascii="Times" w:hAnsi="Times" w:cs="Times"/>
          <w:sz w:val="20"/>
          <w:sz-cs w:val="20"/>
        </w:rPr>
        <w:t xml:space="preserve">If the property is to be sold by auction or fixed-date sale, the agent or representative must request the seller’s reserve price for the property. If the agent or representative has received the reserve price, it must be included in this Property Price Statement. This may occur after the Property Price Statement is first published.</w:t>
      </w:r>
    </w:p>
    <w:p>
      <w:pPr>
        <w:spacing w:before="120" w:after="120"/>
      </w:pPr>
      <w:r>
        <w:rPr>
          <w:rFonts w:ascii="Times" w:hAnsi="Times" w:cs="Times"/>
          <w:sz w:val="20"/>
          <w:sz-cs w:val="20"/>
        </w:rPr>
        <w:t xml:space="preserve">The seller’s reserve price must also be included in any advertisement for the sale of the property at least 7 days before an auction or fixed date sale. An auction or fixed date sale must not occur if the seller’s reserve is not published for the period of 7 days immediately before the day of the auction or fixed-date sale.  </w:t>
      </w:r>
    </w:p>
    <w:p>
      <w:pPr>
        <w:spacing w:before="120" w:after="120"/>
      </w:pPr>
      <w:r>
        <w:rPr>
          <w:rFonts w:ascii="Times" w:hAnsi="Times" w:cs="Times"/>
          <w:sz w:val="20"/>
          <w:sz-cs w:val="20"/>
          <w:b/>
        </w:rPr>
        <w:t xml:space="preserve">Updating the property sale price </w:t>
      </w:r>
    </w:p>
    <w:p>
      <w:pPr>
        <w:spacing w:before="120" w:after="120"/>
      </w:pPr>
      <w:r>
        <w:rPr>
          <w:rFonts w:ascii="Times" w:hAnsi="Times" w:cs="Times"/>
          <w:sz w:val="20"/>
          <w:sz-cs w:val="20"/>
        </w:rPr>
        <w:t xml:space="preserve">Within 7 days after the unconditional sale of the property, the agent or agent’s representative must:</w:t>
      </w:r>
    </w:p>
    <w:p>
      <w:pPr>
        <w:ind w:left="720" w:first-line="-720"/>
      </w:pPr>
      <w:r>
        <w:rPr>
          <w:rFonts w:ascii="Times" w:hAnsi="Times" w:cs="Times"/>
          <w:sz w:val="20"/>
          <w:sz-cs w:val="20"/>
        </w:rPr>
        <w:t xml:space="preserve"/>
        <w:tab/>
        <w:t xml:space="preserve">•</w:t>
        <w:tab/>
        <w:t xml:space="preserve">amend the Property Price Statement to include the sale price of the property; </w:t>
      </w:r>
    </w:p>
    <w:p>
      <w:pPr>
        <w:ind w:left="720" w:first-line="-720"/>
      </w:pPr>
      <w:r>
        <w:rPr>
          <w:rFonts w:ascii="Times" w:hAnsi="Times" w:cs="Times"/>
          <w:sz w:val="20"/>
          <w:sz-cs w:val="20"/>
        </w:rPr>
        <w:t xml:space="preserve"/>
        <w:tab/>
        <w:t xml:space="preserve">•</w:t>
        <w:tab/>
        <w:t xml:space="preserve">publish this Property Price Statement on an internet site; and </w:t>
      </w:r>
    </w:p>
    <w:p>
      <w:pPr>
        <w:ind w:left="720" w:first-line="-720"/>
      </w:pPr>
      <w:r>
        <w:rPr>
          <w:rFonts w:ascii="Times" w:hAnsi="Times" w:cs="Times"/>
          <w:sz w:val="20"/>
          <w:sz-cs w:val="20"/>
        </w:rPr>
        <w:t xml:space="preserve"/>
        <w:tab/>
        <w:t xml:space="preserve">•</w:t>
        <w:tab/>
        <w:t xml:space="preserve">make it available to access by any person on that internet site for at least 18 months after the unconditional sale.</w:t>
      </w:r>
    </w:p>
    <w:p>
      <w:pPr>
        <w:spacing w:before="120" w:after="120"/>
      </w:pPr>
      <w:r>
        <w:rPr>
          <w:rFonts w:ascii="Times" w:hAnsi="Times" w:cs="Times"/>
          <w:sz w:val="20"/>
          <w:sz-cs w:val="20"/>
        </w:rPr>
        <w:t xml:space="preserve">The sale price must be included unless the Director of Consumer Affairs Victoria has granted an exemption or an exemption application is yet to be determined.</w:t>
      </w:r>
    </w:p>
    <w:p>
      <w:pPr/>
      <w:r>
        <w:rPr>
          <w:rFonts w:ascii="Times" w:hAnsi="Times" w:cs="Times"/>
          <w:sz w:val="30"/>
          <w:sz-cs w:val="30"/>
          <w:b/>
          <w:color w:val="0070C0"/>
        </w:rPr>
        <w:t xml:space="preserve"/>
        <w:br w:type="page"/>
        <w:t xml:space="preserve">Property Price Statement</w:t>
        <w:br/>
        <w:t xml:space="preserve"/>
      </w:r>
      <w:r>
        <w:rPr>
          <w:rFonts w:ascii="Times" w:hAnsi="Times" w:cs="Times"/>
          <w:sz w:val="24"/>
          <w:sz-cs w:val="24"/>
          <w:color w:val="0070C0"/>
        </w:rPr>
        <w:t xml:space="preserve">Single residential property located in the Melbourne metropolitan area</w:t>
      </w:r>
    </w:p>
    <w:p>
      <w:pPr>
        <w:jc w:val="right"/>
        <w:spacing w:before="120" w:after="120"/>
      </w:pPr>
      <w:r>
        <w:rPr>
          <w:rFonts w:ascii="Times" w:hAnsi="Times" w:cs="Times"/>
          <w:sz w:val="22"/>
          <w:sz-cs w:val="22"/>
          <w:b/>
        </w:rPr>
        <w:t xml:space="preserve">Section 47AF of the </w:t>
      </w:r>
      <w:r>
        <w:rPr>
          <w:rFonts w:ascii="Times" w:hAnsi="Times" w:cs="Times"/>
          <w:sz w:val="22"/>
          <w:sz-cs w:val="22"/>
          <w:b/>
          <w:i/>
        </w:rPr>
        <w:t xml:space="preserve">Estate Agents Act 1980</w:t>
      </w:r>
    </w:p>
    <w:p>
      <w:pPr>
        <w:jc w:val="right"/>
        <w:spacing w:before="120" w:after="120"/>
      </w:pPr>
      <w:r>
        <w:rPr>
          <w:rFonts w:ascii="Times" w:hAnsi="Times" w:cs="Times"/>
          <w:sz w:val="22"/>
          <w:sz-cs w:val="22"/>
          <w:b/>
          <w:i/>
        </w:rPr>
        <w:t xml:space="preserve"/>
      </w:r>
    </w:p>
    <w:p>
      <w:pPr>
        <w:jc w:val="center"/>
        <w:spacing w:before="120" w:after="120"/>
      </w:pPr>
      <w:r>
        <w:rPr>
          <w:rFonts w:ascii="Times" w:hAnsi="Times" w:cs="Times"/>
          <w:sz w:val="22"/>
          <w:sz-cs w:val="22"/>
          <w:b/>
          <w:i/>
        </w:rPr>
        <w:t xml:space="preserve"/>
      </w:r>
    </w:p>
    <w:p>
      <w:pPr>
        <w:jc w:val="right"/>
        <w:spacing w:before="120" w:after="120"/>
      </w:pPr>
      <w:r>
        <w:rPr>
          <w:rFonts w:ascii="Times" w:hAnsi="Times" w:cs="Times"/>
          <w:sz w:val="24"/>
          <w:sz-cs w:val="24"/>
          <w:b/>
        </w:rPr>
        <w:t xml:space="preserve">Date prepared</w:t>
      </w:r>
    </w:p>
    <w:p>
      <w:pPr>
        <w:jc w:val="center"/>
        <w:spacing w:before="120" w:after="120"/>
      </w:pPr>
      <w:r>
        <w:rPr>
          <w:rFonts w:ascii="Times" w:hAnsi="Times" w:cs="Times"/>
          <w:sz w:val="24"/>
          <w:sz-cs w:val="24"/>
          <w:b/>
        </w:rPr>
        <w:t xml:space="preserve">30/09/2026</w:t>
      </w:r>
    </w:p>
    <w:p>
      <w:pPr>
        <w:jc w:val="right"/>
      </w:pPr>
      <w:r>
        <w:rPr>
          <w:rFonts w:ascii="Times" w:hAnsi="Times" w:cs="Times"/>
          <w:sz w:val="24"/>
          <w:sz-cs w:val="24"/>
          <w:b/>
        </w:rPr>
        <w:t xml:space="preserve"/>
      </w:r>
    </w:p>
    <w:p>
      <w:pPr/>
      <w:r>
        <w:rPr>
          <w:rFonts w:ascii="Times" w:hAnsi="Times" w:cs="Times"/>
          <w:sz w:val="24"/>
          <w:sz-cs w:val="24"/>
        </w:rPr>
        <w:t xml:space="preserve">Property offered for sale</w:t>
      </w:r>
    </w:p>
    <w:p>
      <w:pPr>
        <w:jc w:val="right"/>
      </w:pPr>
      <w:r>
        <w:rPr>
          <w:rFonts w:ascii="Times" w:hAnsi="Times" w:cs="Times"/>
          <w:sz w:val="24"/>
          <w:sz-cs w:val="24"/>
        </w:rPr>
        <w:t xml:space="preserve">Address</w:t>
      </w:r>
    </w:p>
    <w:p>
      <w:pPr>
        <w:jc w:val="right"/>
      </w:pPr>
      <w:r>
        <w:rPr>
          <w:rFonts w:ascii="Times" w:hAnsi="Times" w:cs="Times"/>
          <w:sz w:val="24"/>
          <w:sz-cs w:val="24"/>
        </w:rPr>
        <w:t xml:space="preserve">Including suburb and postcode</w:t>
      </w:r>
    </w:p>
    <w:p>
      <w:pPr/>
      <w:r>
        <w:rPr>
          <w:rFonts w:ascii="Times" w:hAnsi="Times" w:cs="Times"/>
          <w:sz w:val="24"/>
          <w:sz-cs w:val="24"/>
        </w:rPr>
        <w:t xml:space="preserve">102-105 Nepean Highway, Aspendale</w:t>
      </w:r>
    </w:p>
    <w:p>
      <w:pPr/>
      <w:r>
        <w:rPr>
          <w:rFonts w:ascii="Times" w:hAnsi="Times" w:cs="Times"/>
          <w:sz w:val="24"/>
          <w:sz-cs w:val="24"/>
        </w:rPr>
        <w:t xml:space="preserve"/>
      </w:r>
    </w:p>
    <w:p>
      <w:pPr/>
      <w:r>
        <w:rPr>
          <w:rFonts w:ascii="Times" w:hAnsi="Times" w:cs="Times"/>
          <w:sz w:val="24"/>
          <w:sz-cs w:val="24"/>
        </w:rPr>
        <w:t xml:space="preserve">Key features of the property</w:t>
      </w:r>
    </w:p>
    <w:p>
      <w:pPr/>
      <w:r>
        <w:rPr>
          <w:rFonts w:ascii="Times" w:hAnsi="Times" w:cs="Times"/>
          <w:sz w:val="24"/>
          <w:sz-cs w:val="24"/>
          <w:b/>
        </w:rPr>
        <w:t xml:space="preserve">Building Type</w:t>
      </w:r>
    </w:p>
    <w:p>
      <w:pPr/>
      <w:r>
        <w:rPr>
          <w:rFonts w:ascii="Times" w:hAnsi="Times" w:cs="Times"/>
          <w:sz w:val="24"/>
          <w:sz-cs w:val="24"/>
          <w:b/>
        </w:rPr>
        <w:t xml:space="preserve"># of bedrooms</w:t>
      </w:r>
    </w:p>
    <w:p>
      <w:pPr/>
      <w:r>
        <w:rPr>
          <w:rFonts w:ascii="Times" w:hAnsi="Times" w:cs="Times"/>
          <w:sz w:val="24"/>
          <w:sz-cs w:val="24"/>
          <w:b/>
        </w:rPr>
        <w:t xml:space="preserve"># of bathrooms</w:t>
      </w:r>
    </w:p>
    <w:p>
      <w:pPr/>
      <w:r>
        <w:rPr>
          <w:rFonts w:ascii="Times" w:hAnsi="Times" w:cs="Times"/>
          <w:sz w:val="24"/>
          <w:sz-cs w:val="24"/>
          <w:b/>
        </w:rPr>
        <w:t xml:space="preserve"># of car spaces</w:t>
      </w:r>
    </w:p>
    <w:p>
      <w:pPr/>
      <w:r>
        <w:rPr>
          <w:rFonts w:ascii="Times" w:hAnsi="Times" w:cs="Times"/>
          <w:sz w:val="24"/>
          <w:sz-cs w:val="24"/>
          <w:b/>
        </w:rPr>
        <w:t xml:space="preserve">Internal floor space (in m</w:t>
      </w:r>
      <w:r>
        <w:rPr>
          <w:rFonts w:ascii="Times" w:hAnsi="Times" w:cs="Times"/>
          <w:sz w:val="24"/>
          <w:sz-cs w:val="24"/>
          <w:b/>
          <w:vertAlign w:val="superscript"/>
        </w:rPr>
        <w:t xml:space="preserve">2</w:t>
      </w:r>
      <w:r>
        <w:rPr>
          <w:rFonts w:ascii="Times" w:hAnsi="Times" w:cs="Times"/>
          <w:sz w:val="24"/>
          <w:sz-cs w:val="24"/>
          <w:b/>
        </w:rPr>
        <w:t xml:space="preserve">)</w:t>
      </w:r>
    </w:p>
    <w:p>
      <w:pPr/>
      <w:r>
        <w:rPr>
          <w:rFonts w:ascii="Times" w:hAnsi="Times" w:cs="Times"/>
          <w:sz w:val="24"/>
          <w:sz-cs w:val="24"/>
          <w:b/>
        </w:rPr>
        <w:t xml:space="preserve">Total land size (in m</w:t>
      </w:r>
      <w:r>
        <w:rPr>
          <w:rFonts w:ascii="Times" w:hAnsi="Times" w:cs="Times"/>
          <w:sz w:val="24"/>
          <w:sz-cs w:val="24"/>
          <w:b/>
          <w:vertAlign w:val="superscript"/>
        </w:rPr>
        <w:t xml:space="preserve">2</w:t>
      </w:r>
      <w:r>
        <w:rPr>
          <w:rFonts w:ascii="Times" w:hAnsi="Times" w:cs="Times"/>
          <w:sz w:val="24"/>
          <w:sz-cs w:val="24"/>
          <w:b/>
        </w:rPr>
        <w:t xml:space="preserve">)</w:t>
      </w:r>
    </w:p>
    <w:p>
      <w:pPr/>
      <w:r>
        <w:rPr>
          <w:rFonts w:ascii="Times" w:hAnsi="Times" w:cs="Times"/>
          <w:sz w:val="24"/>
          <w:sz-cs w:val="24"/>
        </w:rPr>
        <w:t xml:space="preserve">Vacant Land</w:t>
      </w:r>
    </w:p>
    <w:p>
      <w:pPr/>
      <w:r>
        <w:rPr>
          <w:rFonts w:ascii="Times" w:hAnsi="Times" w:cs="Times"/>
          <w:sz w:val="24"/>
          <w:sz-cs w:val="24"/>
        </w:rPr>
        <w:t xml:space="preserve">N/A</w:t>
      </w:r>
    </w:p>
    <w:p>
      <w:pPr/>
      <w:r>
        <w:rPr>
          <w:rFonts w:ascii="Times" w:hAnsi="Times" w:cs="Times"/>
          <w:sz w:val="24"/>
          <w:sz-cs w:val="24"/>
        </w:rPr>
        <w:t xml:space="preserve">N/A</w:t>
      </w:r>
    </w:p>
    <w:p>
      <w:pPr/>
      <w:r>
        <w:rPr>
          <w:rFonts w:ascii="Times" w:hAnsi="Times" w:cs="Times"/>
          <w:sz w:val="24"/>
          <w:sz-cs w:val="24"/>
        </w:rPr>
        <w:t xml:space="preserve">N/A</w:t>
      </w:r>
    </w:p>
    <w:p>
      <w:pPr/>
      <w:r>
        <w:rPr>
          <w:rFonts w:ascii="Times" w:hAnsi="Times" w:cs="Times"/>
          <w:sz w:val="24"/>
          <w:sz-cs w:val="24"/>
        </w:rPr>
        <w:t xml:space="preserve">N/A</w:t>
      </w:r>
    </w:p>
    <w:p>
      <w:pPr/>
      <w:r>
        <w:rPr>
          <w:rFonts w:ascii="Times" w:hAnsi="Times" w:cs="Times"/>
          <w:sz w:val="24"/>
          <w:sz-cs w:val="24"/>
        </w:rPr>
        <w:t xml:space="preserve">633sqm</w:t>
      </w:r>
    </w:p>
    <w:p>
      <w:pPr/>
      <w:r>
        <w:rPr>
          <w:rFonts w:ascii="Times" w:hAnsi="Times" w:cs="Times"/>
          <w:sz w:val="24"/>
          <w:sz-cs w:val="24"/>
        </w:rPr>
        <w:t xml:space="preserve">Indicative selling price</w:t>
      </w:r>
    </w:p>
    <w:p>
      <w:pPr>
        <w:spacing w:before="120" w:after="120"/>
      </w:pPr>
      <w:r>
        <w:rPr>
          <w:rFonts w:ascii="Times" w:hAnsi="Times" w:cs="Times"/>
          <w:sz w:val="24"/>
          <w:sz-cs w:val="24"/>
        </w:rPr>
        <w:t xml:space="preserve">For the meaning of </w:t>
      </w:r>
      <w:r>
        <w:rPr>
          <w:rFonts w:ascii="Times" w:hAnsi="Times" w:cs="Times"/>
          <w:sz w:val="24"/>
          <w:sz-cs w:val="24"/>
          <w:i/>
        </w:rPr>
        <w:t xml:space="preserve">indicative selling price</w:t>
      </w:r>
      <w:r>
        <w:rPr>
          <w:rFonts w:ascii="Times" w:hAnsi="Times" w:cs="Times"/>
          <w:sz w:val="24"/>
          <w:sz-cs w:val="24"/>
        </w:rPr>
        <w:t xml:space="preserve">, see consumer.vic.gov.au/underquoting. An indicative selling price may be a single price or a range of not more than 10% of the value of the lower limit.</w:t>
      </w:r>
    </w:p>
    <w:p>
      <w:pPr>
        <w:jc w:val="right"/>
      </w:pPr>
      <w:r>
        <w:rPr>
          <w:rFonts w:ascii="Times" w:hAnsi="Times" w:cs="Times"/>
          <w:sz w:val="24"/>
          <w:sz-cs w:val="24"/>
        </w:rPr>
        <w:t xml:space="preserve">Single price</w:t>
      </w:r>
    </w:p>
    <w:p>
      <w:pPr/>
      <w:r>
        <w:rPr>
          <w:rFonts w:ascii="Times" w:hAnsi="Times" w:cs="Times"/>
          <w:sz w:val="24"/>
          <w:sz-cs w:val="24"/>
        </w:rPr>
        <w:t xml:space="preserve">$</w:t>
      </w:r>
      <w:r>
        <w:rPr>
          <w:rFonts w:ascii="Times" w:hAnsi="Times" w:cs="Times"/>
          <w:sz w:val="24"/>
          <w:sz-cs w:val="24"/>
          <w:b/>
        </w:rPr>
        <w:t xml:space="preserve">1,700,000.00</w:t>
      </w:r>
    </w:p>
    <w:p>
      <w:pPr>
        <w:jc w:val="right"/>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p>
      <w:pPr>
        <w:jc w:val="right"/>
      </w:pPr>
      <w:r>
        <w:rPr>
          <w:rFonts w:ascii="Times" w:hAnsi="Times" w:cs="Times"/>
          <w:sz w:val="24"/>
          <w:sz-cs w:val="24"/>
        </w:rPr>
        <w:t xml:space="preserve">or</w:t>
      </w:r>
    </w:p>
    <w:p>
      <w:pPr/>
      <w:r>
        <w:rPr>
          <w:rFonts w:ascii="Times" w:hAnsi="Times" w:cs="Times"/>
          <w:sz w:val="24"/>
          <w:sz-cs w:val="24"/>
        </w:rPr>
        <w:t xml:space="preserve"/>
      </w:r>
    </w:p>
    <w:p>
      <w:pPr>
        <w:jc w:val="right"/>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jc w:val="right"/>
      </w:pPr>
      <w:r>
        <w:rPr>
          <w:rFonts w:ascii="Times" w:hAnsi="Times" w:cs="Times"/>
          <w:sz w:val="24"/>
          <w:sz-cs w:val="24"/>
        </w:rPr>
        <w:t xml:space="preserve">Range between</w:t>
      </w:r>
    </w:p>
    <w:p>
      <w:pPr/>
      <w:r>
        <w:rPr>
          <w:rFonts w:ascii="Times" w:hAnsi="Times" w:cs="Times"/>
          <w:sz w:val="24"/>
          <w:sz-cs w:val="24"/>
        </w:rPr>
        <w:t xml:space="preserve">$</w:t>
      </w:r>
    </w:p>
    <w:p>
      <w:pPr>
        <w:jc w:val="center"/>
      </w:pPr>
      <w:r>
        <w:rPr>
          <w:rFonts w:ascii="Times" w:hAnsi="Times" w:cs="Times"/>
          <w:sz w:val="24"/>
          <w:sz-cs w:val="24"/>
        </w:rPr>
        <w:t xml:space="preserve">&amp;</w:t>
      </w:r>
    </w:p>
    <w:p>
      <w:pPr/>
      <w:r>
        <w:rPr>
          <w:rFonts w:ascii="Times" w:hAnsi="Times" w:cs="Times"/>
          <w:sz w:val="24"/>
          <w:sz-cs w:val="24"/>
        </w:rPr>
        <w:t xml:space="preserve">$</w:t>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Seller’s reserve price (if property is to be sold by auction or fixed-date sale)</w:t>
      </w:r>
    </w:p>
    <w:p>
      <w:pPr>
        <w:spacing w:before="120" w:after="120"/>
      </w:pPr>
      <w:r>
        <w:rPr>
          <w:rFonts w:ascii="Times" w:hAnsi="Times" w:cs="Times"/>
          <w:sz w:val="24"/>
          <w:sz-cs w:val="24"/>
        </w:rPr>
        <w:t xml:space="preserve">For the meaning of </w:t>
      </w:r>
      <w:r>
        <w:rPr>
          <w:rFonts w:ascii="Times" w:hAnsi="Times" w:cs="Times"/>
          <w:sz w:val="24"/>
          <w:sz-cs w:val="24"/>
          <w:i/>
        </w:rPr>
        <w:t xml:space="preserve">seller’s reserve price</w:t>
      </w:r>
      <w:r>
        <w:rPr>
          <w:rFonts w:ascii="Times" w:hAnsi="Times" w:cs="Times"/>
          <w:sz w:val="24"/>
          <w:sz-cs w:val="24"/>
        </w:rPr>
        <w:t xml:space="preserve">, see consumer.vic.gov.au/underquoting. When the estate agent or agent’s representative receives the seller’s reserve price it must be included in this section. </w:t>
        <w:br/>
        <w:t xml:space="preserve">[</w:t>
      </w:r>
      <w:r>
        <w:rPr>
          <w:rFonts w:ascii="Times" w:hAnsi="Times" w:cs="Times"/>
          <w:sz w:val="24"/>
          <w:sz-cs w:val="24"/>
          <w:i/>
        </w:rPr>
        <w:t xml:space="preserve">Insert N/A if the property is not to be sold by auction or fixed-date sale</w:t>
      </w:r>
      <w:r>
        <w:rPr>
          <w:rFonts w:ascii="Times" w:hAnsi="Times" w:cs="Times"/>
          <w:sz w:val="24"/>
          <w:sz-cs w:val="24"/>
        </w:rPr>
        <w:t xml:space="preserve">]</w:t>
      </w:r>
    </w:p>
    <w:p>
      <w:pPr>
        <w:jc w:val="right"/>
      </w:pPr>
      <w:r>
        <w:rPr>
          <w:rFonts w:ascii="Times" w:hAnsi="Times" w:cs="Times"/>
          <w:sz w:val="24"/>
          <w:sz-cs w:val="24"/>
        </w:rPr>
        <w:t xml:space="preserve">Seller’s reserve price</w:t>
      </w:r>
    </w:p>
    <w:p>
      <w:pPr/>
      <w:r>
        <w:rPr>
          <w:rFonts w:ascii="Times" w:hAnsi="Times" w:cs="Times"/>
          <w:sz w:val="24"/>
          <w:sz-cs w:val="24"/>
        </w:rPr>
        <w:t xml:space="preserve">N/A</w:t>
      </w:r>
    </w:p>
    <w:p>
      <w:pPr/>
      <w:r>
        <w:rPr>
          <w:rFonts w:ascii="Times" w:hAnsi="Times" w:cs="Times"/>
          <w:sz w:val="24"/>
          <w:sz-cs w:val="24"/>
        </w:rPr>
        <w:t xml:space="preserve"/>
      </w:r>
    </w:p>
    <w:p>
      <w:pPr/>
      <w:r>
        <w:rPr>
          <w:rFonts w:ascii="Times" w:hAnsi="Times" w:cs="Times"/>
          <w:sz w:val="24"/>
          <w:sz-cs w:val="24"/>
        </w:rPr>
        <w:t xml:space="preserve">N/A</w:t>
      </w:r>
    </w:p>
    <w:p>
      <w:pPr>
        <w:jc w:val="center"/>
      </w:pPr>
      <w:r>
        <w:rPr>
          <w:rFonts w:ascii="Times" w:hAnsi="Times" w:cs="Times"/>
          <w:sz w:val="24"/>
          <w:sz-cs w:val="24"/>
        </w:rPr>
        <w:t xml:space="preserve"/>
      </w:r>
    </w:p>
    <w:p>
      <w:pPr/>
      <w:r>
        <w:rPr>
          <w:rFonts w:ascii="Times" w:hAnsi="Times" w:cs="Times"/>
          <w:sz w:val="24"/>
          <w:sz-cs w:val="24"/>
        </w:rPr>
        <w:t xml:space="preserve">N/A</w:t>
      </w:r>
    </w:p>
    <w:p>
      <w:pPr>
        <w:jc w:val="center"/>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Median sale price</w:t>
      </w:r>
    </w:p>
    <w:p>
      <w:pPr/>
      <w:r>
        <w:rPr>
          <w:rFonts w:ascii="Times" w:hAnsi="Times" w:cs="Times"/>
          <w:sz w:val="24"/>
          <w:sz-cs w:val="24"/>
        </w:rPr>
        <w:t xml:space="preserve">This section describes the median selling price for residential properties sold in the same suburb as the property offered for sale, sold in a 3-to-12-month period ending no more than 6 months before this statement was prepared. </w:t>
      </w:r>
    </w:p>
    <w:p>
      <w:pPr/>
      <w:r>
        <w:rPr>
          <w:rFonts w:ascii="Times" w:hAnsi="Times" w:cs="Times"/>
          <w:sz w:val="24"/>
          <w:sz-cs w:val="24"/>
        </w:rPr>
        <w:t xml:space="preserve"/>
      </w:r>
    </w:p>
    <w:p>
      <w:pPr/>
      <w:r>
        <w:rPr>
          <w:rFonts w:ascii="Times" w:hAnsi="Times" w:cs="Times"/>
          <w:sz w:val="24"/>
          <w:sz-cs w:val="24"/>
        </w:rPr>
        <w:t xml:space="preserve">Median price</w:t>
      </w:r>
    </w:p>
    <w:p>
      <w:pPr/>
      <w:r>
        <w:rPr>
          <w:rFonts w:ascii="Times" w:hAnsi="Times" w:cs="Times"/>
          <w:sz w:val="24"/>
          <w:sz-cs w:val="24"/>
        </w:rPr>
        <w:t xml:space="preserve">$870,000</w:t>
      </w:r>
    </w:p>
    <w:p>
      <w:pPr>
        <w:jc w:val="right"/>
      </w:pPr>
      <w:r>
        <w:rPr>
          <w:rFonts w:ascii="Times" w:hAnsi="Times" w:cs="Times"/>
          <w:sz w:val="24"/>
          <w:sz-cs w:val="24"/>
        </w:rPr>
        <w:t xml:space="preserve">Property type</w:t>
      </w:r>
    </w:p>
    <w:p>
      <w:pPr/>
      <w:r>
        <w:rPr>
          <w:rFonts w:ascii="Times" w:hAnsi="Times" w:cs="Times"/>
          <w:sz w:val="24"/>
          <w:sz-cs w:val="24"/>
        </w:rPr>
        <w:t xml:space="preserve">Unit</w:t>
      </w:r>
    </w:p>
    <w:p>
      <w:pPr>
        <w:jc w:val="right"/>
      </w:pPr>
      <w:r>
        <w:rPr>
          <w:rFonts w:ascii="Times" w:hAnsi="Times" w:cs="Times"/>
          <w:sz w:val="24"/>
          <w:sz-cs w:val="24"/>
        </w:rPr>
        <w:t xml:space="preserve">Suburb </w:t>
      </w:r>
    </w:p>
    <w:p>
      <w:pPr/>
      <w:r>
        <w:rPr>
          <w:rFonts w:ascii="Times" w:hAnsi="Times" w:cs="Times"/>
          <w:sz w:val="24"/>
          <w:sz-cs w:val="24"/>
        </w:rPr>
        <w:t xml:space="preserve">Aspendale</w:t>
      </w:r>
    </w:p>
    <w:p>
      <w:pPr/>
      <w:r>
        <w:rPr>
          <w:rFonts w:ascii="Times" w:hAnsi="Times" w:cs="Times"/>
          <w:sz w:val="24"/>
          <w:sz-cs w:val="24"/>
        </w:rPr>
        <w:t xml:space="preserve"/>
      </w:r>
    </w:p>
    <w:p>
      <w:pPr/>
      <w:r>
        <w:rPr>
          <w:rFonts w:ascii="Times" w:hAnsi="Times" w:cs="Times"/>
          <w:sz w:val="24"/>
          <w:sz-cs w:val="24"/>
        </w:rPr>
        <w:t xml:space="preserve">Period: from</w:t>
      </w:r>
    </w:p>
    <w:p>
      <w:pPr/>
      <w:r>
        <w:rPr>
          <w:rFonts w:ascii="Times" w:hAnsi="Times" w:cs="Times"/>
          <w:sz w:val="24"/>
          <w:sz-cs w:val="24"/>
        </w:rPr>
        <w:t xml:space="preserve">30th September, 2025</w:t>
      </w:r>
    </w:p>
    <w:p>
      <w:pPr>
        <w:jc w:val="center"/>
      </w:pPr>
      <w:r>
        <w:rPr>
          <w:rFonts w:ascii="Times" w:hAnsi="Times" w:cs="Times"/>
          <w:sz w:val="24"/>
          <w:sz-cs w:val="24"/>
        </w:rPr>
        <w:t xml:space="preserve">to</w:t>
      </w:r>
    </w:p>
    <w:p>
      <w:pPr/>
      <w:r>
        <w:rPr>
          <w:rFonts w:ascii="Times" w:hAnsi="Times" w:cs="Times"/>
          <w:sz w:val="24"/>
          <w:sz-cs w:val="24"/>
        </w:rPr>
        <w:t xml:space="preserve">30th September 2026</w:t>
      </w:r>
    </w:p>
    <w:p>
      <w:pPr>
        <w:jc w:val="right"/>
      </w:pPr>
      <w:r>
        <w:rPr>
          <w:rFonts w:ascii="Times" w:hAnsi="Times" w:cs="Times"/>
          <w:sz w:val="24"/>
          <w:sz-cs w:val="24"/>
        </w:rPr>
        <w:t xml:space="preserve">Source </w:t>
      </w:r>
    </w:p>
    <w:p>
      <w:pPr/>
      <w:r>
        <w:rPr>
          <w:rFonts w:ascii="Times" w:hAnsi="Times" w:cs="Times"/>
          <w:sz w:val="24"/>
          <w:sz-cs w:val="24"/>
        </w:rPr>
        <w:t xml:space="preserve">Cotality</w:t>
      </w:r>
    </w:p>
    <w:p>
      <w:pPr/>
      <w:r>
        <w:rPr>
          <w:rFonts w:ascii="Times" w:hAnsi="Times" w:cs="Times"/>
          <w:sz w:val="24"/>
          <w:sz-cs w:val="24"/>
        </w:rPr>
        <w:t xml:space="preserve">Comparable property sales</w:t>
      </w:r>
    </w:p>
    <w:p>
      <w:pPr/>
      <w:r>
        <w:rPr>
          <w:rFonts w:ascii="Times" w:hAnsi="Times" w:cs="Times"/>
          <w:sz w:val="24"/>
          <w:sz-cs w:val="24"/>
        </w:rPr>
        <w:t xml:space="preserve">These are the three most comparable properties to the property for sale that were sold </w:t>
      </w:r>
      <w:r>
        <w:rPr>
          <w:rFonts w:ascii="Times" w:hAnsi="Times" w:cs="Times"/>
          <w:sz w:val="24"/>
          <w:sz-cs w:val="24"/>
          <w:b/>
        </w:rPr>
        <w:t xml:space="preserve">within two kilometres</w:t>
      </w:r>
      <w:r>
        <w:rPr>
          <w:rFonts w:ascii="Times" w:hAnsi="Times" w:cs="Times"/>
          <w:sz w:val="24"/>
          <w:sz-cs w:val="24"/>
        </w:rPr>
        <w:t xml:space="preserve"> of the property for sale </w:t>
      </w:r>
      <w:r>
        <w:rPr>
          <w:rFonts w:ascii="Times" w:hAnsi="Times" w:cs="Times"/>
          <w:sz w:val="24"/>
          <w:sz-cs w:val="24"/>
          <w:b/>
        </w:rPr>
        <w:t xml:space="preserve">in the last six months</w:t>
      </w:r>
      <w:r>
        <w:rPr>
          <w:rFonts w:ascii="Times" w:hAnsi="Times" w:cs="Times"/>
          <w:sz w:val="24"/>
          <w:sz-cs w:val="24"/>
        </w:rPr>
        <w:t xml:space="preserve">. </w:t>
      </w:r>
    </w:p>
    <w:p>
      <w:pPr/>
      <w:r>
        <w:rPr>
          <w:rFonts w:ascii="Times" w:hAnsi="Times" w:cs="Times"/>
          <w:sz w:val="24"/>
          <w:sz-cs w:val="24"/>
        </w:rPr>
        <w:t xml:space="preserve">If there were fewer than three, but one or two, comparable properties, these must be included below. </w:t>
      </w:r>
    </w:p>
    <w:p>
      <w:pPr/>
      <w:r>
        <w:rPr>
          <w:rFonts w:ascii="Times" w:hAnsi="Times" w:cs="Times"/>
          <w:sz w:val="24"/>
          <w:sz-cs w:val="24"/>
        </w:rPr>
        <w:t xml:space="preserve">These properties were used to help determine the estimated selling price.  </w:t>
      </w:r>
    </w:p>
    <w:p>
      <w:pPr/>
      <w:r>
        <w:rPr>
          <w:rFonts w:ascii="Times" w:hAnsi="Times" w:cs="Times"/>
          <w:sz w:val="24"/>
          <w:sz-cs w:val="24"/>
        </w:rPr>
        <w:t xml:space="preserve">[</w:t>
      </w:r>
      <w:r>
        <w:rPr>
          <w:rFonts w:ascii="Times" w:hAnsi="Times" w:cs="Times"/>
          <w:sz w:val="24"/>
          <w:sz-cs w:val="24"/>
          <w:i/>
        </w:rPr>
        <w:t xml:space="preserve">Insert N/A in blank sections</w:t>
      </w:r>
      <w:r>
        <w:rPr>
          <w:rFonts w:ascii="Times" w:hAnsi="Times" w:cs="Times"/>
          <w:sz w:val="24"/>
          <w:sz-cs w:val="24"/>
        </w:rPr>
        <w:t xml:space="preserve">]</w:t>
      </w:r>
    </w:p>
    <w:p>
      <w:pPr>
        <w:spacing w:before="240"/>
      </w:pPr>
      <w:r>
        <w:rPr>
          <w:rFonts w:ascii="Times" w:hAnsi="Times" w:cs="Times"/>
          <w:sz w:val="24"/>
          <w:sz-cs w:val="24"/>
          <w:b/>
          <w:u w:val="single"/>
        </w:rPr>
        <w:t xml:space="preserve">Comparable property 1</w:t>
      </w:r>
    </w:p>
    <w:p>
      <w:pPr/>
      <w:r>
        <w:rPr>
          <w:rFonts w:ascii="Times" w:hAnsi="Times" w:cs="Times"/>
          <w:sz w:val="24"/>
          <w:sz-cs w:val="24"/>
          <w:b/>
        </w:rPr>
        <w:t xml:space="preserve">Address </w:t>
      </w:r>
    </w:p>
    <w:p>
      <w:pPr/>
      <w:r>
        <w:rPr>
          <w:rFonts w:ascii="Times" w:hAnsi="Times" w:cs="Times"/>
          <w:sz w:val="24"/>
          <w:sz-cs w:val="24"/>
          <w:b/>
        </w:rPr>
        <w:t xml:space="preserve">Sale price</w:t>
      </w:r>
    </w:p>
    <w:p>
      <w:pPr/>
      <w:r>
        <w:rPr>
          <w:rFonts w:ascii="Times" w:hAnsi="Times" w:cs="Times"/>
          <w:sz w:val="24"/>
          <w:sz-cs w:val="24"/>
          <w:b/>
        </w:rPr>
        <w:t xml:space="preserve">Date of sale</w:t>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Key features</w:t>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Building Type</w:t>
      </w:r>
    </w:p>
    <w:p>
      <w:pPr/>
      <w:r>
        <w:rPr>
          <w:rFonts w:ascii="Times" w:hAnsi="Times" w:cs="Times"/>
          <w:sz w:val="24"/>
          <w:sz-cs w:val="24"/>
          <w:b/>
        </w:rPr>
        <w:t xml:space="preserve"># of bedrooms</w:t>
      </w:r>
    </w:p>
    <w:p>
      <w:pPr/>
      <w:r>
        <w:rPr>
          <w:rFonts w:ascii="Times" w:hAnsi="Times" w:cs="Times"/>
          <w:sz w:val="24"/>
          <w:sz-cs w:val="24"/>
          <w:b/>
        </w:rPr>
        <w:t xml:space="preserve"># of bathrooms</w:t>
      </w:r>
    </w:p>
    <w:p>
      <w:pPr/>
      <w:r>
        <w:rPr>
          <w:rFonts w:ascii="Times" w:hAnsi="Times" w:cs="Times"/>
          <w:sz w:val="24"/>
          <w:sz-cs w:val="24"/>
          <w:b/>
        </w:rPr>
        <w:t xml:space="preserve"># of car spaces</w:t>
      </w:r>
    </w:p>
    <w:p>
      <w:pPr/>
      <w:r>
        <w:rPr>
          <w:rFonts w:ascii="Times" w:hAnsi="Times" w:cs="Times"/>
          <w:sz w:val="24"/>
          <w:sz-cs w:val="24"/>
          <w:b/>
        </w:rPr>
        <w:t xml:space="preserve">Internal floor space (in m</w:t>
      </w:r>
      <w:r>
        <w:rPr>
          <w:rFonts w:ascii="Times" w:hAnsi="Times" w:cs="Times"/>
          <w:sz w:val="24"/>
          <w:sz-cs w:val="24"/>
          <w:b/>
          <w:vertAlign w:val="superscript"/>
        </w:rPr>
        <w:t xml:space="preserve">2</w:t>
      </w:r>
      <w:r>
        <w:rPr>
          <w:rFonts w:ascii="Times" w:hAnsi="Times" w:cs="Times"/>
          <w:sz w:val="24"/>
          <w:sz-cs w:val="24"/>
          <w:b/>
        </w:rPr>
        <w:t xml:space="preserve">)</w:t>
      </w:r>
    </w:p>
    <w:p>
      <w:pPr/>
      <w:r>
        <w:rPr>
          <w:rFonts w:ascii="Times" w:hAnsi="Times" w:cs="Times"/>
          <w:sz w:val="24"/>
          <w:sz-cs w:val="24"/>
          <w:b/>
        </w:rPr>
        <w:t xml:space="preserve">Total land size (in m</w:t>
      </w:r>
      <w:r>
        <w:rPr>
          <w:rFonts w:ascii="Times" w:hAnsi="Times" w:cs="Times"/>
          <w:sz w:val="24"/>
          <w:sz-cs w:val="24"/>
          <w:b/>
          <w:vertAlign w:val="superscript"/>
        </w:rPr>
        <w:t xml:space="preserve">2</w:t>
      </w:r>
      <w:r>
        <w:rPr>
          <w:rFonts w:ascii="Times" w:hAnsi="Times" w:cs="Times"/>
          <w:sz w:val="24"/>
          <w:sz-cs w:val="24"/>
          <w:b/>
        </w:rPr>
        <w:t xml:space="preserve">)</w:t>
      </w:r>
    </w:p>
    <w:p>
      <w:pPr/>
      <w:r>
        <w:rPr>
          <w:rFonts w:ascii="Times" w:hAnsi="Times" w:cs="Times"/>
          <w:sz w:val="24"/>
          <w:sz-cs w:val="24"/>
        </w:rPr>
        <w:t xml:space="preserve">N/A</w:t>
      </w:r>
    </w:p>
    <w:p>
      <w:pPr/>
      <w:r>
        <w:rPr>
          <w:rFonts w:ascii="Times" w:hAnsi="Times" w:cs="Times"/>
          <w:sz w:val="24"/>
          <w:sz-cs w:val="24"/>
          <w:b/>
        </w:rPr>
        <w:t xml:space="preserve"/>
      </w:r>
    </w:p>
    <w:p>
      <w:pPr/>
      <w:r>
        <w:rPr>
          <w:rFonts w:ascii="Times" w:hAnsi="Times" w:cs="Times"/>
          <w:sz w:val="24"/>
          <w:sz-cs w:val="24"/>
        </w:rPr>
        <w:t xml:space="preserve">N/A</w:t>
      </w:r>
    </w:p>
    <w:p>
      <w:pPr/>
      <w:r>
        <w:rPr>
          <w:rFonts w:ascii="Times" w:hAnsi="Times" w:cs="Times"/>
          <w:sz w:val="24"/>
          <w:sz-cs w:val="24"/>
          <w:b/>
        </w:rPr>
        <w:t xml:space="preserve"/>
      </w:r>
    </w:p>
    <w:p>
      <w:pPr/>
      <w:r>
        <w:rPr>
          <w:rFonts w:ascii="Times" w:hAnsi="Times" w:cs="Times"/>
          <w:sz w:val="24"/>
          <w:sz-cs w:val="24"/>
        </w:rPr>
        <w:t xml:space="preserve">N/A</w:t>
      </w:r>
    </w:p>
    <w:p>
      <w:pPr/>
      <w:r>
        <w:rPr>
          <w:rFonts w:ascii="Times" w:hAnsi="Times" w:cs="Times"/>
          <w:sz w:val="24"/>
          <w:sz-cs w:val="24"/>
          <w:b/>
        </w:rPr>
        <w:t xml:space="preserve"/>
      </w:r>
    </w:p>
    <w:p>
      <w:pPr/>
      <w:r>
        <w:rPr>
          <w:rFonts w:ascii="Times" w:hAnsi="Times" w:cs="Times"/>
          <w:sz w:val="24"/>
          <w:sz-cs w:val="24"/>
        </w:rPr>
        <w:t xml:space="preserve">N/A</w:t>
      </w:r>
    </w:p>
    <w:p>
      <w:pPr/>
      <w:r>
        <w:rPr>
          <w:rFonts w:ascii="Times" w:hAnsi="Times" w:cs="Times"/>
          <w:sz w:val="24"/>
          <w:sz-cs w:val="24"/>
          <w:b/>
        </w:rPr>
        <w:t xml:space="preserve"/>
      </w:r>
    </w:p>
    <w:p>
      <w:pPr/>
      <w:r>
        <w:rPr>
          <w:rFonts w:ascii="Times" w:hAnsi="Times" w:cs="Times"/>
          <w:sz w:val="24"/>
          <w:sz-cs w:val="24"/>
        </w:rPr>
        <w:t xml:space="preserve">N/A</w:t>
      </w:r>
    </w:p>
    <w:p>
      <w:pPr/>
      <w:r>
        <w:rPr>
          <w:rFonts w:ascii="Times" w:hAnsi="Times" w:cs="Times"/>
          <w:sz w:val="24"/>
          <w:sz-cs w:val="24"/>
          <w:b/>
        </w:rPr>
        <w:t xml:space="preserve"/>
      </w:r>
    </w:p>
    <w:p>
      <w:pPr/>
      <w:r>
        <w:rPr>
          <w:rFonts w:ascii="Times" w:hAnsi="Times" w:cs="Times"/>
          <w:sz w:val="24"/>
          <w:sz-cs w:val="24"/>
        </w:rPr>
        <w:t xml:space="preserve">N/A</w:t>
      </w:r>
    </w:p>
    <w:p>
      <w:pPr/>
      <w:r>
        <w:rPr>
          <w:rFonts w:ascii="Times" w:hAnsi="Times" w:cs="Times"/>
          <w:sz w:val="24"/>
          <w:sz-cs w:val="24"/>
          <w:b/>
        </w:rPr>
        <w:t xml:space="preserve"/>
      </w:r>
    </w:p>
    <w:p>
      <w:pPr>
        <w:spacing w:before="240"/>
      </w:pPr>
      <w:r>
        <w:rPr>
          <w:rFonts w:ascii="Times" w:hAnsi="Times" w:cs="Times"/>
          <w:sz w:val="24"/>
          <w:sz-cs w:val="24"/>
          <w:b/>
          <w:u w:val="single"/>
        </w:rPr>
        <w:t xml:space="preserve">Comparable property 2</w:t>
      </w:r>
    </w:p>
    <w:p>
      <w:pPr/>
      <w:r>
        <w:rPr>
          <w:rFonts w:ascii="Times" w:hAnsi="Times" w:cs="Times"/>
          <w:sz w:val="24"/>
          <w:sz-cs w:val="24"/>
          <w:b/>
        </w:rPr>
        <w:t xml:space="preserve">Address </w:t>
      </w:r>
    </w:p>
    <w:p>
      <w:pPr/>
      <w:r>
        <w:rPr>
          <w:rFonts w:ascii="Times" w:hAnsi="Times" w:cs="Times"/>
          <w:sz w:val="24"/>
          <w:sz-cs w:val="24"/>
          <w:b/>
        </w:rPr>
        <w:t xml:space="preserve">Sale price</w:t>
      </w:r>
    </w:p>
    <w:p>
      <w:pPr/>
      <w:r>
        <w:rPr>
          <w:rFonts w:ascii="Times" w:hAnsi="Times" w:cs="Times"/>
          <w:sz w:val="24"/>
          <w:sz-cs w:val="24"/>
          <w:b/>
        </w:rPr>
        <w:t xml:space="preserve">Date of sale</w:t>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Key features</w:t>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Building Type</w:t>
      </w:r>
    </w:p>
    <w:p>
      <w:pPr/>
      <w:r>
        <w:rPr>
          <w:rFonts w:ascii="Times" w:hAnsi="Times" w:cs="Times"/>
          <w:sz w:val="24"/>
          <w:sz-cs w:val="24"/>
          <w:b/>
        </w:rPr>
        <w:t xml:space="preserve"># of bedrooms</w:t>
      </w:r>
    </w:p>
    <w:p>
      <w:pPr/>
      <w:r>
        <w:rPr>
          <w:rFonts w:ascii="Times" w:hAnsi="Times" w:cs="Times"/>
          <w:sz w:val="24"/>
          <w:sz-cs w:val="24"/>
          <w:b/>
        </w:rPr>
        <w:t xml:space="preserve"># of bathrooms</w:t>
      </w:r>
    </w:p>
    <w:p>
      <w:pPr/>
      <w:r>
        <w:rPr>
          <w:rFonts w:ascii="Times" w:hAnsi="Times" w:cs="Times"/>
          <w:sz w:val="24"/>
          <w:sz-cs w:val="24"/>
          <w:b/>
        </w:rPr>
        <w:t xml:space="preserve"># of car spaces</w:t>
      </w:r>
    </w:p>
    <w:p>
      <w:pPr/>
      <w:r>
        <w:rPr>
          <w:rFonts w:ascii="Times" w:hAnsi="Times" w:cs="Times"/>
          <w:sz w:val="24"/>
          <w:sz-cs w:val="24"/>
          <w:b/>
        </w:rPr>
        <w:t xml:space="preserve">Internal floor space (in m</w:t>
      </w:r>
      <w:r>
        <w:rPr>
          <w:rFonts w:ascii="Times" w:hAnsi="Times" w:cs="Times"/>
          <w:sz w:val="24"/>
          <w:sz-cs w:val="24"/>
          <w:b/>
          <w:vertAlign w:val="superscript"/>
        </w:rPr>
        <w:t xml:space="preserve">2</w:t>
      </w:r>
      <w:r>
        <w:rPr>
          <w:rFonts w:ascii="Times" w:hAnsi="Times" w:cs="Times"/>
          <w:sz w:val="24"/>
          <w:sz-cs w:val="24"/>
          <w:b/>
        </w:rPr>
        <w:t xml:space="preserve">)</w:t>
      </w:r>
    </w:p>
    <w:p>
      <w:pPr/>
      <w:r>
        <w:rPr>
          <w:rFonts w:ascii="Times" w:hAnsi="Times" w:cs="Times"/>
          <w:sz w:val="24"/>
          <w:sz-cs w:val="24"/>
          <w:b/>
        </w:rPr>
        <w:t xml:space="preserve">Total land size </w:t>
        <w:br/>
        <w:t xml:space="preserve">(in m</w:t>
      </w:r>
      <w:r>
        <w:rPr>
          <w:rFonts w:ascii="Times" w:hAnsi="Times" w:cs="Times"/>
          <w:sz w:val="24"/>
          <w:sz-cs w:val="24"/>
          <w:b/>
          <w:vertAlign w:val="superscript"/>
        </w:rPr>
        <w:t xml:space="preserve">2</w:t>
      </w:r>
      <w:r>
        <w:rPr>
          <w:rFonts w:ascii="Times" w:hAnsi="Times" w:cs="Times"/>
          <w:sz w:val="24"/>
          <w:sz-cs w:val="24"/>
          <w:b/>
        </w:rPr>
        <w:t xml:space="preserve">)</w:t>
      </w:r>
    </w:p>
    <w:p>
      <w:pPr/>
      <w:r>
        <w:rPr>
          <w:rFonts w:ascii="Times" w:hAnsi="Times" w:cs="Times"/>
          <w:sz w:val="24"/>
          <w:sz-cs w:val="24"/>
          <w:b/>
        </w:rPr>
        <w:t xml:space="preserve"/>
      </w:r>
    </w:p>
    <w:p>
      <w:pPr/>
      <w:r>
        <w:rPr>
          <w:rFonts w:ascii="Times" w:hAnsi="Times" w:cs="Times"/>
          <w:sz w:val="24"/>
          <w:sz-cs w:val="24"/>
        </w:rPr>
        <w:t xml:space="preserve">N/A</w:t>
      </w:r>
    </w:p>
    <w:p>
      <w:pPr/>
      <w:r>
        <w:rPr>
          <w:rFonts w:ascii="Times" w:hAnsi="Times" w:cs="Times"/>
          <w:sz w:val="24"/>
          <w:sz-cs w:val="24"/>
          <w:b/>
        </w:rPr>
        <w:t xml:space="preserve"/>
      </w:r>
    </w:p>
    <w:p>
      <w:pPr/>
      <w:r>
        <w:rPr>
          <w:rFonts w:ascii="Times" w:hAnsi="Times" w:cs="Times"/>
          <w:sz w:val="24"/>
          <w:sz-cs w:val="24"/>
        </w:rPr>
        <w:t xml:space="preserve">N/A</w:t>
      </w:r>
    </w:p>
    <w:p>
      <w:pPr/>
      <w:r>
        <w:rPr>
          <w:rFonts w:ascii="Times" w:hAnsi="Times" w:cs="Times"/>
          <w:sz w:val="24"/>
          <w:sz-cs w:val="24"/>
          <w:b/>
        </w:rPr>
        <w:t xml:space="preserve"/>
      </w:r>
    </w:p>
    <w:p>
      <w:pPr/>
      <w:r>
        <w:rPr>
          <w:rFonts w:ascii="Times" w:hAnsi="Times" w:cs="Times"/>
          <w:sz w:val="24"/>
          <w:sz-cs w:val="24"/>
        </w:rPr>
        <w:t xml:space="preserve">N/A</w:t>
      </w:r>
    </w:p>
    <w:p>
      <w:pPr/>
      <w:r>
        <w:rPr>
          <w:rFonts w:ascii="Times" w:hAnsi="Times" w:cs="Times"/>
          <w:sz w:val="24"/>
          <w:sz-cs w:val="24"/>
          <w:b/>
        </w:rPr>
        <w:t xml:space="preserve"/>
      </w:r>
    </w:p>
    <w:p>
      <w:pPr/>
      <w:r>
        <w:rPr>
          <w:rFonts w:ascii="Times" w:hAnsi="Times" w:cs="Times"/>
          <w:sz w:val="24"/>
          <w:sz-cs w:val="24"/>
        </w:rPr>
        <w:t xml:space="preserve">N/A</w:t>
      </w:r>
    </w:p>
    <w:p>
      <w:pPr/>
      <w:r>
        <w:rPr>
          <w:rFonts w:ascii="Times" w:hAnsi="Times" w:cs="Times"/>
          <w:sz w:val="24"/>
          <w:sz-cs w:val="24"/>
          <w:b/>
        </w:rPr>
        <w:t xml:space="preserve"/>
      </w:r>
    </w:p>
    <w:p>
      <w:pPr/>
      <w:r>
        <w:rPr>
          <w:rFonts w:ascii="Times" w:hAnsi="Times" w:cs="Times"/>
          <w:sz w:val="24"/>
          <w:sz-cs w:val="24"/>
        </w:rPr>
        <w:t xml:space="preserve">N/A</w:t>
      </w:r>
    </w:p>
    <w:p>
      <w:pPr/>
      <w:r>
        <w:rPr>
          <w:rFonts w:ascii="Times" w:hAnsi="Times" w:cs="Times"/>
          <w:sz w:val="24"/>
          <w:sz-cs w:val="24"/>
          <w:b/>
        </w:rPr>
        <w:t xml:space="preserve"/>
      </w:r>
    </w:p>
    <w:p>
      <w:pPr>
        <w:spacing w:before="240"/>
      </w:pPr>
      <w:r>
        <w:rPr>
          <w:rFonts w:ascii="Times" w:hAnsi="Times" w:cs="Times"/>
          <w:sz w:val="24"/>
          <w:sz-cs w:val="24"/>
          <w:b/>
          <w:u w:val="single"/>
        </w:rPr>
        <w:t xml:space="preserve">Comparable property 3</w:t>
      </w:r>
    </w:p>
    <w:p>
      <w:pPr/>
      <w:r>
        <w:rPr>
          <w:rFonts w:ascii="Times" w:hAnsi="Times" w:cs="Times"/>
          <w:sz w:val="24"/>
          <w:sz-cs w:val="24"/>
          <w:b/>
        </w:rPr>
        <w:t xml:space="preserve">Address </w:t>
      </w:r>
    </w:p>
    <w:p>
      <w:pPr/>
      <w:r>
        <w:rPr>
          <w:rFonts w:ascii="Times" w:hAnsi="Times" w:cs="Times"/>
          <w:sz w:val="24"/>
          <w:sz-cs w:val="24"/>
          <w:b/>
        </w:rPr>
        <w:t xml:space="preserve">Sale price</w:t>
      </w:r>
    </w:p>
    <w:p>
      <w:pPr/>
      <w:r>
        <w:rPr>
          <w:rFonts w:ascii="Times" w:hAnsi="Times" w:cs="Times"/>
          <w:sz w:val="24"/>
          <w:sz-cs w:val="24"/>
          <w:b/>
        </w:rPr>
        <w:t xml:space="preserve">Date of sale</w:t>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Key features</w:t>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Building Type</w:t>
      </w:r>
    </w:p>
    <w:p>
      <w:pPr/>
      <w:r>
        <w:rPr>
          <w:rFonts w:ascii="Times" w:hAnsi="Times" w:cs="Times"/>
          <w:sz w:val="24"/>
          <w:sz-cs w:val="24"/>
          <w:b/>
        </w:rPr>
        <w:t xml:space="preserve"># of bedrooms</w:t>
      </w:r>
    </w:p>
    <w:p>
      <w:pPr/>
      <w:r>
        <w:rPr>
          <w:rFonts w:ascii="Times" w:hAnsi="Times" w:cs="Times"/>
          <w:sz w:val="24"/>
          <w:sz-cs w:val="24"/>
          <w:b/>
        </w:rPr>
        <w:t xml:space="preserve"># of bathrooms</w:t>
      </w:r>
    </w:p>
    <w:p>
      <w:pPr/>
      <w:r>
        <w:rPr>
          <w:rFonts w:ascii="Times" w:hAnsi="Times" w:cs="Times"/>
          <w:sz w:val="24"/>
          <w:sz-cs w:val="24"/>
          <w:b/>
        </w:rPr>
        <w:t xml:space="preserve"># of car spaces</w:t>
      </w:r>
    </w:p>
    <w:p>
      <w:pPr/>
      <w:r>
        <w:rPr>
          <w:rFonts w:ascii="Times" w:hAnsi="Times" w:cs="Times"/>
          <w:sz w:val="24"/>
          <w:sz-cs w:val="24"/>
          <w:b/>
        </w:rPr>
        <w:t xml:space="preserve">Internal floor space (in m</w:t>
      </w:r>
      <w:r>
        <w:rPr>
          <w:rFonts w:ascii="Times" w:hAnsi="Times" w:cs="Times"/>
          <w:sz w:val="24"/>
          <w:sz-cs w:val="24"/>
          <w:b/>
          <w:vertAlign w:val="superscript"/>
        </w:rPr>
        <w:t xml:space="preserve">2</w:t>
      </w:r>
      <w:r>
        <w:rPr>
          <w:rFonts w:ascii="Times" w:hAnsi="Times" w:cs="Times"/>
          <w:sz w:val="24"/>
          <w:sz-cs w:val="24"/>
          <w:b/>
        </w:rPr>
        <w:t xml:space="preserve">)</w:t>
      </w:r>
    </w:p>
    <w:p>
      <w:pPr/>
      <w:r>
        <w:rPr>
          <w:rFonts w:ascii="Times" w:hAnsi="Times" w:cs="Times"/>
          <w:sz w:val="24"/>
          <w:sz-cs w:val="24"/>
          <w:b/>
        </w:rPr>
        <w:t xml:space="preserve">Total land size (in m</w:t>
      </w:r>
      <w:r>
        <w:rPr>
          <w:rFonts w:ascii="Times" w:hAnsi="Times" w:cs="Times"/>
          <w:sz w:val="24"/>
          <w:sz-cs w:val="24"/>
          <w:b/>
          <w:vertAlign w:val="superscript"/>
        </w:rPr>
        <w:t xml:space="preserve">2</w:t>
      </w:r>
      <w:r>
        <w:rPr>
          <w:rFonts w:ascii="Times" w:hAnsi="Times" w:cs="Times"/>
          <w:sz w:val="24"/>
          <w:sz-cs w:val="24"/>
          <w:b/>
        </w:rPr>
        <w:t xml:space="preserve">)</w:t>
      </w:r>
    </w:p>
    <w:p>
      <w:pPr/>
      <w:r>
        <w:rPr>
          <w:rFonts w:ascii="Times" w:hAnsi="Times" w:cs="Times"/>
          <w:sz w:val="24"/>
          <w:sz-cs w:val="24"/>
          <w:b/>
        </w:rPr>
        <w:t xml:space="preserve"/>
      </w:r>
    </w:p>
    <w:p>
      <w:pPr/>
      <w:r>
        <w:rPr>
          <w:rFonts w:ascii="Times" w:hAnsi="Times" w:cs="Times"/>
          <w:sz w:val="24"/>
          <w:sz-cs w:val="24"/>
        </w:rPr>
        <w:t xml:space="preserve">N/A</w:t>
      </w:r>
    </w:p>
    <w:p>
      <w:pPr/>
      <w:r>
        <w:rPr>
          <w:rFonts w:ascii="Times" w:hAnsi="Times" w:cs="Times"/>
          <w:sz w:val="24"/>
          <w:sz-cs w:val="24"/>
          <w:b/>
        </w:rPr>
        <w:t xml:space="preserve"/>
      </w:r>
    </w:p>
    <w:p>
      <w:pPr/>
      <w:r>
        <w:rPr>
          <w:rFonts w:ascii="Times" w:hAnsi="Times" w:cs="Times"/>
          <w:sz w:val="24"/>
          <w:sz-cs w:val="24"/>
        </w:rPr>
        <w:t xml:space="preserve">N/A</w:t>
      </w:r>
    </w:p>
    <w:p>
      <w:pPr/>
      <w:r>
        <w:rPr>
          <w:rFonts w:ascii="Times" w:hAnsi="Times" w:cs="Times"/>
          <w:sz w:val="24"/>
          <w:sz-cs w:val="24"/>
          <w:b/>
        </w:rPr>
        <w:t xml:space="preserve"/>
      </w:r>
    </w:p>
    <w:p>
      <w:pPr/>
      <w:r>
        <w:rPr>
          <w:rFonts w:ascii="Times" w:hAnsi="Times" w:cs="Times"/>
          <w:sz w:val="24"/>
          <w:sz-cs w:val="24"/>
        </w:rPr>
        <w:t xml:space="preserve">N/A</w:t>
      </w:r>
    </w:p>
    <w:p>
      <w:pPr/>
      <w:r>
        <w:rPr>
          <w:rFonts w:ascii="Times" w:hAnsi="Times" w:cs="Times"/>
          <w:sz w:val="24"/>
          <w:sz-cs w:val="24"/>
          <w:b/>
        </w:rPr>
        <w:t xml:space="preserve"/>
      </w:r>
    </w:p>
    <w:p>
      <w:pPr/>
      <w:r>
        <w:rPr>
          <w:rFonts w:ascii="Times" w:hAnsi="Times" w:cs="Times"/>
          <w:sz w:val="24"/>
          <w:sz-cs w:val="24"/>
        </w:rPr>
        <w:t xml:space="preserve">N/A</w:t>
      </w:r>
    </w:p>
    <w:p>
      <w:pPr/>
      <w:r>
        <w:rPr>
          <w:rFonts w:ascii="Times" w:hAnsi="Times" w:cs="Times"/>
          <w:sz w:val="24"/>
          <w:sz-cs w:val="24"/>
          <w:b/>
        </w:rPr>
        <w:t xml:space="preserve"/>
      </w:r>
    </w:p>
    <w:p>
      <w:pPr/>
      <w:r>
        <w:rPr>
          <w:rFonts w:ascii="Times" w:hAnsi="Times" w:cs="Times"/>
          <w:sz w:val="24"/>
          <w:sz-cs w:val="24"/>
        </w:rPr>
        <w:t xml:space="preserve">N/A</w:t>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rPr>
        <w:t xml:space="preserve">Reason there are fewer than three comparable properties </w:t>
      </w:r>
    </w:p>
    <w:p>
      <w:pPr>
        <w:spacing w:after="240"/>
      </w:pPr>
      <w:r>
        <w:rPr>
          <w:rFonts w:ascii="Times" w:hAnsi="Times" w:cs="Times"/>
          <w:sz w:val="24"/>
          <w:sz-cs w:val="24"/>
          <w:b/>
          <w:spacing w:val="0"/>
          <w:color w:val="000000"/>
        </w:rPr>
        <w:t xml:space="preserve">Limited comparable sales</w:t>
      </w:r>
      <w:r>
        <w:rPr>
          <w:rFonts w:ascii="Times" w:hAnsi="Times" w:cs="Times"/>
          <w:sz w:val="24"/>
          <w:sz-cs w:val="24"/>
          <w:b/>
        </w:rPr>
        <w:t xml:space="preserve"/>
      </w:r>
    </w:p>
    <w:p>
      <w:pPr/>
      <w:r>
        <w:rPr>
          <w:rFonts w:ascii="Times" w:hAnsi="Times" w:cs="Times"/>
          <w:sz w:val="24"/>
          <w:sz-cs w:val="24"/>
          <w:b/>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p>
      <w:pPr>
        <w:spacing w:before="120" w:after="120"/>
      </w:pPr>
      <w:r>
        <w:rPr>
          <w:rFonts w:ascii="Times" w:hAnsi="Times" w:cs="Times"/>
          <w:sz w:val="24"/>
          <w:sz-cs w:val="24"/>
        </w:rPr>
        <w:t xml:space="preserve">Explain the reason the agent or agent’s representative believes that fewer than three comparable properties:</w:t>
      </w:r>
    </w:p>
    <w:p>
      <w:pPr>
        <w:spacing w:before="120" w:after="120"/>
      </w:pPr>
      <w:r>
        <w:rPr>
          <w:rFonts w:ascii="Times" w:hAnsi="Times" w:cs="Times"/>
          <w:sz w:val="24"/>
          <w:sz-cs w:val="24"/>
        </w:rPr>
        <w:t xml:space="preserve">[</w:t>
      </w:r>
      <w:r>
        <w:rPr>
          <w:rFonts w:ascii="Times" w:hAnsi="Times" w:cs="Times"/>
          <w:sz w:val="24"/>
          <w:sz-cs w:val="24"/>
          <w:i/>
        </w:rPr>
        <w:t xml:space="preserve">Insert N/A if there were three comparable properties</w:t>
      </w:r>
      <w:r>
        <w:rPr>
          <w:rFonts w:ascii="Times" w:hAnsi="Times" w:cs="Times"/>
          <w:sz w:val="24"/>
          <w:sz-cs w:val="24"/>
        </w:rPr>
        <w:t xml:space="preserve">]</w:t>
      </w:r>
    </w:p>
    <w:p>
      <w:pPr>
        <w:spacing w:after="240"/>
      </w:pPr>
      <w:r>
        <w:rPr>
          <w:rFonts w:ascii="Times" w:hAnsi="Times" w:cs="Times"/>
          <w:sz w:val="24"/>
          <w:sz-cs w:val="24"/>
          <w:spacing w:val="0"/>
          <w:color w:val="000000"/>
        </w:rPr>
        <w:t xml:space="preserve">Fewer than three comparable properties were identified within the prescribed 2km radius and six-month period, having regard to the subject property being vacant land with approved plans and permits for a five-townhouse development.</w:t>
      </w:r>
    </w:p>
    <w:p>
      <w:pPr/>
      <w:r>
        <w:rPr>
          <w:rFonts w:ascii="Times" w:hAnsi="Times" w:cs="Times"/>
          <w:sz w:val="24"/>
          <w:sz-cs w:val="24"/>
        </w:rPr>
        <w:t xml:space="preserve"/>
      </w:r>
    </w:p>
    <w:p>
      <w:pPr/>
      <w:r>
        <w:rPr>
          <w:rFonts w:ascii="Times" w:hAnsi="Times" w:cs="Times"/>
          <w:sz w:val="24"/>
          <w:sz-cs w:val="24"/>
        </w:rPr>
        <w:t xml:space="preserve"/>
        <w:br w:type="page"/>
        <w:t xml:space="preserve">Sale outcome </w:t>
      </w:r>
    </w:p>
    <w:p>
      <w:pPr>
        <w:spacing w:before="120" w:after="120"/>
      </w:pPr>
      <w:r>
        <w:rPr>
          <w:rFonts w:ascii="Times" w:hAnsi="Times" w:cs="Times"/>
          <w:sz w:val="24"/>
          <w:sz-cs w:val="24"/>
        </w:rPr>
        <w:t xml:space="preserve">The sale price of the property must be included in this section within seven days after the unconditional sale of the property unless an application for an exemption is pending or an exemption has been granted.</w:t>
      </w:r>
    </w:p>
    <w:p>
      <w:pPr/>
      <w:r>
        <w:rPr>
          <w:rFonts w:ascii="Times" w:hAnsi="Times" w:cs="Times"/>
          <w:sz w:val="24"/>
          <w:sz-cs w:val="24"/>
        </w:rPr>
        <w:t xml:space="preserve">Sale price</w:t>
      </w:r>
    </w:p>
    <w:p>
      <w:pPr>
        <w:spacing w:before="120" w:after="120"/>
      </w:pPr>
      <w:r>
        <w:rPr>
          <w:rFonts w:ascii="Times" w:hAnsi="Times" w:cs="Times"/>
          <w:sz w:val="24"/>
          <w:sz-cs w:val="24"/>
        </w:rPr>
        <w:t xml:space="preserve">$________________</w:t>
      </w:r>
    </w:p>
    <w:p>
      <w:pPr/>
      <w:r>
        <w:rPr>
          <w:rFonts w:ascii="Times" w:hAnsi="Times" w:cs="Times"/>
          <w:sz w:val="24"/>
          <w:sz-cs w:val="24"/>
        </w:rPr>
        <w:t xml:space="preserve">Unconditional sale date </w:t>
      </w:r>
    </w:p>
    <w:p>
      <w:pPr>
        <w:spacing w:before="120" w:after="120"/>
      </w:pPr>
      <w:r>
        <w:rPr>
          <w:rFonts w:ascii="Times" w:hAnsi="Times" w:cs="Times"/>
          <w:sz w:val="24"/>
          <w:sz-cs w:val="24"/>
        </w:rPr>
        <w:t xml:space="preserve">_____/_____/_____</w:t>
      </w:r>
    </w:p>
    <w:p>
      <w:pPr/>
      <w:r>
        <w:rPr>
          <w:rFonts w:ascii="Times" w:hAnsi="Times" w:cs="Times"/>
          <w:sz w:val="24"/>
          <w:sz-cs w:val="24"/>
        </w:rPr>
        <w:t xml:space="preserve"/>
      </w:r>
    </w:p>
    <w:p>
      <w:pPr>
        <w:spacing w:before="240" w:after="240"/>
      </w:pPr>
      <w:r>
        <w:rPr>
          <w:rFonts w:ascii="Times" w:hAnsi="Times" w:cs="Times"/>
          <w:sz w:val="24"/>
          <w:sz-cs w:val="24"/>
        </w:rPr>
        <w:t xml:space="preserve"/>
      </w:r>
    </w:p>
    <w:sectPr>
      <w:pgSz w:w="11900" w:h="16840"/>
      <w:pgMar w:top="709" w:right="1134" w:bottom="426" w:left="1134"/>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Department of Justice and Regulation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creator>Consumer Affairs Victoria</dc:creator>
  <cp:keywords>Estate agents, underquoting</cp:keywords>
</cp:coreProperties>
</file>

<file path=docProps/meta.xml><?xml version="1.0" encoding="utf-8"?>
<meta xmlns="http://schemas.apple.com/cocoa/2006/metadata">
  <generator>CocoaOOXMLWriter/1894.7</generator>
</meta>
</file>